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highlight w:val="white"/>
          <w:rtl w:val="0"/>
        </w:rPr>
        <w:t xml:space="preserve">4/27 수익률공부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highlight w:val="white"/>
          <w:rtl w:val="0"/>
        </w:rPr>
        <w:t xml:space="preserve">1.시가총액가중방식  </w:t>
      </w:r>
    </w:p>
    <w:p w:rsidR="00000000" w:rsidDel="00000000" w:rsidP="00000000" w:rsidRDefault="00000000" w:rsidRPr="00000000" w14:paraId="00000027">
      <w:pPr>
        <w:widowControl w:val="0"/>
        <w:spacing w:line="240" w:lineRule="auto"/>
        <w:jc w:val="both"/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line="240" w:lineRule="auto"/>
        <w:jc w:val="both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0"/>
          <w:szCs w:val="20"/>
          <w:highlight w:val="white"/>
          <w:rtl w:val="0"/>
        </w:rPr>
        <w:t xml:space="preserve">= 시가총액 가중이란 각 기업의 시가총액, 즉 시장가치에 비례해 비중을 두는 방식.</w:t>
      </w:r>
    </w:p>
    <w:p w:rsidR="00000000" w:rsidDel="00000000" w:rsidP="00000000" w:rsidRDefault="00000000" w:rsidRPr="00000000" w14:paraId="00000029">
      <w:pPr>
        <w:widowControl w:val="0"/>
        <w:spacing w:line="240" w:lineRule="auto"/>
        <w:jc w:val="both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0"/>
          <w:szCs w:val="20"/>
          <w:highlight w:val="white"/>
          <w:rtl w:val="0"/>
        </w:rPr>
        <w:t xml:space="preserve">S&amp;P 500, NASDAQ, KOSPI 등 대부분의 지수가 이러한 방식을 채택함. </w:t>
      </w:r>
    </w:p>
    <w:p w:rsidR="00000000" w:rsidDel="00000000" w:rsidP="00000000" w:rsidRDefault="00000000" w:rsidRPr="00000000" w14:paraId="0000002A">
      <w:pPr>
        <w:widowControl w:val="0"/>
        <w:spacing w:line="240" w:lineRule="auto"/>
        <w:jc w:val="both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0"/>
          <w:szCs w:val="20"/>
          <w:highlight w:val="white"/>
          <w:rtl w:val="0"/>
        </w:rPr>
        <w:t xml:space="preserve">똑같은 수익률의 변화가 일어났어도 시가총액이 많은 주식이 더 많이 지수에 영향을 줌</w:t>
      </w:r>
    </w:p>
    <w:p w:rsidR="00000000" w:rsidDel="00000000" w:rsidP="00000000" w:rsidRDefault="00000000" w:rsidRPr="00000000" w14:paraId="0000002B">
      <w:pPr>
        <w:widowControl w:val="0"/>
        <w:spacing w:line="240" w:lineRule="auto"/>
        <w:jc w:val="both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0"/>
          <w:szCs w:val="20"/>
          <w:highlight w:val="white"/>
          <w:rtl w:val="0"/>
        </w:rPr>
        <w:t xml:space="preserve">S&amp;P 500의 경우 500개 주식 모두를 시총 비중에 비례한 포트폴리오 수익률과 같음.</w:t>
      </w:r>
    </w:p>
    <w:p w:rsidR="00000000" w:rsidDel="00000000" w:rsidP="00000000" w:rsidRDefault="00000000" w:rsidRPr="00000000" w14:paraId="0000002C">
      <w:pPr>
        <w:widowControl w:val="0"/>
        <w:spacing w:line="240" w:lineRule="auto"/>
        <w:jc w:val="both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highlight w:val="white"/>
          <w:rtl w:val="0"/>
        </w:rPr>
        <w:t xml:space="preserve">2.동일가중방식</w:t>
      </w:r>
    </w:p>
    <w:p w:rsidR="00000000" w:rsidDel="00000000" w:rsidP="00000000" w:rsidRDefault="00000000" w:rsidRPr="00000000" w14:paraId="0000002E">
      <w:pPr>
        <w:widowControl w:val="0"/>
        <w:spacing w:line="24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= 모든 포트폴리오의 비중을 같게 같은 금액을 투자함.</w:t>
      </w:r>
    </w:p>
    <w:p w:rsidR="00000000" w:rsidDel="00000000" w:rsidP="00000000" w:rsidRDefault="00000000" w:rsidRPr="00000000" w14:paraId="0000002F">
      <w:pPr>
        <w:widowControl w:val="0"/>
        <w:spacing w:line="24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= 중소형주의 움직임을 잘 반영할 수 있음</w:t>
      </w:r>
    </w:p>
    <w:p w:rsidR="00000000" w:rsidDel="00000000" w:rsidP="00000000" w:rsidRDefault="00000000" w:rsidRPr="00000000" w14:paraId="00000030">
      <w:pPr>
        <w:widowControl w:val="0"/>
        <w:spacing w:line="24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= 차별화장세 (대형주장세) 수익율 낮음</w:t>
      </w:r>
    </w:p>
    <w:p w:rsidR="00000000" w:rsidDel="00000000" w:rsidP="00000000" w:rsidRDefault="00000000" w:rsidRPr="00000000" w14:paraId="00000031">
      <w:pPr>
        <w:widowControl w:val="0"/>
        <w:spacing w:line="24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= 폭락장 수익율낮음(리먼브라더스 사태등) 시총이 가볍기 때문에 낙폭이 큼</w:t>
      </w:r>
    </w:p>
    <w:p w:rsidR="00000000" w:rsidDel="00000000" w:rsidP="00000000" w:rsidRDefault="00000000" w:rsidRPr="00000000" w14:paraId="00000032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highlight w:val="white"/>
          <w:rtl w:val="0"/>
        </w:rPr>
        <w:t xml:space="preserve">3.누적초과수익률</w:t>
      </w:r>
    </w:p>
    <w:p w:rsidR="00000000" w:rsidDel="00000000" w:rsidP="00000000" w:rsidRDefault="00000000" w:rsidRPr="00000000" w14:paraId="00000034">
      <w:pPr>
        <w:widowControl w:val="0"/>
        <w:spacing w:line="24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=</w:t>
      </w: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특정기간 CAR은 그 기간 동안 시장모형(market model)을 이용해서 실증 분석한 증권수익률의 평균잔차(average residuals)의 합을 말한다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highlight w:val="white"/>
          <w:rtl w:val="0"/>
        </w:rPr>
        <w:t xml:space="preserve">4.동일가중조정수익률</w:t>
      </w:r>
    </w:p>
    <w:p w:rsidR="00000000" w:rsidDel="00000000" w:rsidP="00000000" w:rsidRDefault="00000000" w:rsidRPr="00000000" w14:paraId="00000037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2806700"/>
            <wp:effectExtent b="0" l="0" r="0" t="0"/>
            <wp:docPr id="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highlight w:val="white"/>
          <w:rtl w:val="0"/>
        </w:rPr>
        <w:t xml:space="preserve">5.규모조정수익률(SAR: Size Adjusted Returns)</w:t>
      </w:r>
    </w:p>
    <w:p w:rsidR="00000000" w:rsidDel="00000000" w:rsidP="00000000" w:rsidRDefault="00000000" w:rsidRPr="00000000" w14:paraId="0000003B">
      <w:pPr>
        <w:widowControl w:val="0"/>
        <w:spacing w:line="240" w:lineRule="auto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sz w:val="24"/>
          <w:szCs w:val="24"/>
          <w:highlight w:val="white"/>
          <w:rtl w:val="0"/>
        </w:rPr>
        <w:t xml:space="preserve">= CAPM 및 효율적 자본시 장에 대한 연구 중에는 기업규모효과를 고려한 경우가 많이 있다. 즉, 소기업 주식에 대한 위험조정수익률은 대기업에 비해 더 높다는 것이다. 따라서 소기업을 대상으로 초과수익률을 구하게 되면 이러한 기업규모 효 과로 인하여 별다른 사건이 발생하지 않은 경우에도 양의 초과수익률을 얻게 될 수 있다. 이러한 기업규모 효과를 고려하여 초과수익률을 구하는 방법이 규모조정수익률인데, 규모조정수익률 모형에서 초과수익률은 해당 주식의 수익률에서 해당 주식이 속한 기업규모 포트폴리오의 수익률을 차감하여 산출한다. 본 연구에 서는 시가총액기준 10분위수로 집단을 나눈 후, 개별기업 주식수익률에서 개별기업이 속한 집단의 평균 수 익률을 차감하여 계산한다.</w:t>
      </w:r>
    </w:p>
    <w:p w:rsidR="00000000" w:rsidDel="00000000" w:rsidP="00000000" w:rsidRDefault="00000000" w:rsidRPr="00000000" w14:paraId="0000003C">
      <w:pPr>
        <w:widowControl w:val="0"/>
        <w:spacing w:line="240" w:lineRule="auto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30226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line="240" w:lineRule="auto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line="240" w:lineRule="auto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line="240" w:lineRule="auto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sz w:val="24"/>
          <w:szCs w:val="24"/>
          <w:highlight w:val="white"/>
          <w:rtl w:val="0"/>
        </w:rPr>
        <w:t xml:space="preserve">생산성과 매개변수를 함께 분석한 3단계에서 주가수익률(SAR)과 매개변수들은 유의한 정(+)의 관계가 있는 반면, 매개변수가 없을 때 유의한 정(+)의 관계가 있었던 생산성 변수들은 모두 유의하지 않았다. </w:t>
      </w:r>
    </w:p>
    <w:p w:rsidR="00000000" w:rsidDel="00000000" w:rsidP="00000000" w:rsidRDefault="00000000" w:rsidRPr="00000000" w14:paraId="00000040">
      <w:pPr>
        <w:widowControl w:val="0"/>
        <w:spacing w:line="240" w:lineRule="auto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sz w:val="24"/>
          <w:szCs w:val="24"/>
          <w:highlight w:val="white"/>
          <w:rtl w:val="0"/>
        </w:rPr>
        <w:t xml:space="preserve">따라서 이러한 결과는 생산성 변수들과 주가수익률과의 관계는 수익성과 활동성이라는 매개효과를 통해서 나타난다 는 가설 H1을 지지하는 결과이다. 추가적으로 매개효과는 완전매개와 부분매개로 구분할 수 있는데, 만약 생산성이 유의하면서 매개변수도 유의했으면 부분매개이다. 하지만 본 연구의 결과는 생산성이 유의하지 않고 매개변수들만 주가수익률과 유 의한 관계를 가지고 있기 때문에 완전매개효과로 나타났다. 생산성과 주가수익률과의 관계는 매개효과를 통해서 나타난다는 것과, 완전매개효과라는 본 연구의 결과 들은 생산성과 주가(혹은 주가수익률)의 관계가 있다는 선행연구와 없다는 선행연구들이 혼재된 이유를 설 명해 줄 수 있다. 만약 생산성과 주가의 관계를 분석하면서 매개변수들을 고려하지 않을수록 생산성과 주가 의 관계가 유의하게 나타났을 것으로 예상되며, 수익성 및 활동성 관련 매개변수들을 많이 고려할수록 생산 성과 주가와의 관계가 유의하지 않았을 것으로 유추 할 수 있다. 따라서 본 연구의 결과는 생산성과 주가수익률과의 혼재된 관계에 대한 한 가지 이유를 설명함으로써 생산성의 정보효과 등의 연구에 공헌한다고 판 단된다</w:t>
      </w:r>
    </w:p>
    <w:p w:rsidR="00000000" w:rsidDel="00000000" w:rsidP="00000000" w:rsidRDefault="00000000" w:rsidRPr="00000000" w14:paraId="00000041">
      <w:pPr>
        <w:widowControl w:val="0"/>
        <w:spacing w:line="240" w:lineRule="auto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line="240" w:lineRule="auto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http://koreascience.kr/article/JAKO202012461863304.pdf</w:t>
      </w:r>
    </w:p>
    <w:p w:rsidR="00000000" w:rsidDel="00000000" w:rsidP="00000000" w:rsidRDefault="00000000" w:rsidRPr="00000000" w14:paraId="00000043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highlight w:val="white"/>
          <w:rtl w:val="0"/>
        </w:rPr>
        <w:t xml:space="preserve">재무제표 요소 기반 종목선정 </w:t>
      </w:r>
    </w:p>
    <w:p w:rsidR="00000000" w:rsidDel="00000000" w:rsidP="00000000" w:rsidRDefault="00000000" w:rsidRPr="00000000" w14:paraId="00000051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highlight w:val="white"/>
          <w:rtl w:val="0"/>
        </w:rPr>
        <w:t xml:space="preserve">벤자민 그레이엄, 워렌버핏, 피터린치 제외</w:t>
      </w:r>
    </w:p>
    <w:p w:rsidR="00000000" w:rsidDel="00000000" w:rsidP="00000000" w:rsidRDefault="00000000" w:rsidRPr="00000000" w14:paraId="00000052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highlight w:val="white"/>
          <w:rtl w:val="0"/>
        </w:rPr>
        <w:t xml:space="preserve">재무비율 요소 로 선정할수있는 것들</w:t>
      </w:r>
    </w:p>
    <w:p w:rsidR="00000000" w:rsidDel="00000000" w:rsidP="00000000" w:rsidRDefault="00000000" w:rsidRPr="00000000" w14:paraId="00000056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629275" cy="2287042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87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33655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line="24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line="24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유보율 : 기업이 얼마나 많은 자금을 보유하고 있는가 , 자금량 측정지표</w:t>
      </w:r>
    </w:p>
    <w:p w:rsidR="00000000" w:rsidDel="00000000" w:rsidP="00000000" w:rsidRDefault="00000000" w:rsidRPr="00000000" w14:paraId="0000005E">
      <w:pPr>
        <w:widowControl w:val="0"/>
        <w:spacing w:line="24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highlight w:val="white"/>
          <w:rtl w:val="0"/>
        </w:rPr>
        <w:t xml:space="preserve">재무비율 기반 종목선정방식 알아오시면 될것 같습니다</w:t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1"/>
        </w:numPr>
        <w:spacing w:line="240" w:lineRule="auto"/>
        <w:ind w:left="720" w:hanging="360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highlight w:val="white"/>
          <w:rtl w:val="0"/>
        </w:rPr>
        <w:t xml:space="preserve">수익성/성장성/안정성/활동성/유보율 등 </w:t>
      </w:r>
    </w:p>
    <w:p w:rsidR="00000000" w:rsidDel="00000000" w:rsidP="00000000" w:rsidRDefault="00000000" w:rsidRPr="00000000" w14:paraId="00000064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43942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5118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line="24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u w:val="single"/>
          <w:rtl w:val="0"/>
        </w:rPr>
        <w:t xml:space="preserve">4/27 포트폴리오 종목개수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순수 국내주식펀드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교보악사파워인덱스투자신탁 1호 </w:t>
      </w:r>
    </w:p>
    <w:p w:rsidR="00000000" w:rsidDel="00000000" w:rsidP="00000000" w:rsidRDefault="00000000" w:rsidRPr="00000000" w14:paraId="00000081">
      <w:pPr>
        <w:ind w:left="72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설정일이후수익율 : 50.47%</w:t>
      </w:r>
    </w:p>
    <w:p w:rsidR="00000000" w:rsidDel="00000000" w:rsidP="00000000" w:rsidRDefault="00000000" w:rsidRPr="00000000" w14:paraId="00000082">
      <w:pPr>
        <w:ind w:left="72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포트폴리오 상위10종목 </w:t>
      </w:r>
    </w:p>
    <w:p w:rsidR="00000000" w:rsidDel="00000000" w:rsidP="00000000" w:rsidRDefault="00000000" w:rsidRPr="00000000" w14:paraId="000000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afb" w:val="clear"/>
        <w:spacing w:line="377.13599999999997" w:lineRule="auto"/>
        <w:rPr>
          <w:b w:val="1"/>
          <w:color w:val="666666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4"/>
          <w:szCs w:val="24"/>
          <w:highlight w:val="white"/>
          <w:rtl w:val="0"/>
        </w:rPr>
        <w:t xml:space="preserve">은대 = 은행계정대</w:t>
      </w:r>
    </w:p>
    <w:p w:rsidR="00000000" w:rsidDel="00000000" w:rsidP="00000000" w:rsidRDefault="00000000" w:rsidRPr="00000000" w14:paraId="000000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afb" w:val="clear"/>
        <w:spacing w:line="377.13599999999997" w:lineRule="auto"/>
        <w:rPr>
          <w:b w:val="1"/>
          <w:color w:val="666666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4"/>
          <w:szCs w:val="24"/>
          <w:highlight w:val="white"/>
          <w:rtl w:val="0"/>
        </w:rPr>
        <w:t xml:space="preserve">정의: 신탁계정의 여유자금을 은행계정에 빌려주는 계정</w:t>
      </w:r>
    </w:p>
    <w:p w:rsidR="00000000" w:rsidDel="00000000" w:rsidP="00000000" w:rsidRDefault="00000000" w:rsidRPr="00000000" w14:paraId="000000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afb" w:val="clear"/>
        <w:spacing w:line="377.13599999999997" w:lineRule="auto"/>
        <w:rPr>
          <w:rFonts w:ascii="Dotum" w:cs="Dotum" w:eastAsia="Dotum" w:hAnsi="Dotum"/>
          <w:b w:val="1"/>
          <w:color w:val="1155cc"/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4"/>
          <w:szCs w:val="24"/>
          <w:highlight w:val="white"/>
          <w:rtl w:val="0"/>
        </w:rPr>
        <w:t xml:space="preserve">은대 금리 = (한국은행 기준금리 - 0.25%) X 92%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4133850" cy="5910263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91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111111"/>
          <w:sz w:val="24"/>
          <w:szCs w:val="24"/>
          <w:rtl w:val="0"/>
        </w:rPr>
        <w:t xml:space="preserve">한국투자중소밸류증권(주식)_Ae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>
          <w:b w:val="1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ind w:left="720" w:hanging="360"/>
        <w:rPr>
          <w:b w:val="1"/>
          <w:color w:val="3c4043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c4043"/>
          <w:sz w:val="21"/>
          <w:szCs w:val="21"/>
          <w:highlight w:val="white"/>
          <w:rtl w:val="0"/>
        </w:rPr>
        <w:t xml:space="preserve">한국투자중소성장증권투자신탁1호(주식)A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5588971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588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0104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혼합형</w:t>
      </w:r>
    </w:p>
    <w:p w:rsidR="00000000" w:rsidDel="00000000" w:rsidP="00000000" w:rsidRDefault="00000000" w:rsidRPr="00000000" w14:paraId="000000A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삼성믿음직한사계절EMP증권투자신탁H[채권혼합-재갑접형]Ce </w:t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수익률 : 설정이후 10%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포트폴리오 갯수 상위 10개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2395538" cy="5153025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515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52713" cy="4953000"/>
            <wp:effectExtent b="0" l="0" r="0" t="0"/>
            <wp:docPr id="3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키움똑똑한 4차 산업혁명 ETF분할매수 증권 투자신탁((혼합-재간접형)C-e</w:t>
      </w:r>
    </w:p>
    <w:p w:rsidR="00000000" w:rsidDel="00000000" w:rsidP="00000000" w:rsidRDefault="00000000" w:rsidRPr="00000000" w14:paraId="000000B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운용일이후 수익율 :27%</w:t>
      </w:r>
    </w:p>
    <w:p w:rsidR="00000000" w:rsidDel="00000000" w:rsidP="00000000" w:rsidRDefault="00000000" w:rsidRPr="00000000" w14:paraId="000000B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상위10개 종목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2638425" cy="6034088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03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19363" cy="5524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4179380" cy="9282113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9380" cy="928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3964943" cy="8805863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4943" cy="880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4209402" cy="9348788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9402" cy="934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4233863" cy="9403113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940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4183669" cy="9291638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3669" cy="929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4192247" cy="9310688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2247" cy="931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4205113" cy="9339263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113" cy="933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4110761" cy="9129713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761" cy="9129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4024986" cy="8939213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986" cy="893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4167188" cy="9255033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9255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4222268" cy="9377363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2268" cy="937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3960655" cy="8796338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0655" cy="879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4136493" cy="9186863"/>
            <wp:effectExtent b="0" l="0" r="0" t="0"/>
            <wp:docPr id="3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6493" cy="918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4222268" cy="9377363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2268" cy="937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4213690" cy="9358313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3690" cy="935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4140782" cy="9196388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0782" cy="919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4110761" cy="912971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761" cy="9129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4175092" cy="9272588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5092" cy="9272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4136493" cy="9186863"/>
            <wp:effectExtent b="0" l="0" r="0" t="0"/>
            <wp:docPr id="3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6493" cy="918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4200824" cy="9329738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824" cy="932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205038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5853113"/>
            <wp:effectExtent b="0" l="0" r="0" t="0"/>
            <wp:docPr id="4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85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010400"/>
            <wp:effectExtent b="0" l="0" r="0" t="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algun Gothic"/>
  <w:font w:name="Dotum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8.png"/><Relationship Id="rId21" Type="http://schemas.openxmlformats.org/officeDocument/2006/relationships/image" Target="media/image26.png"/><Relationship Id="rId24" Type="http://schemas.openxmlformats.org/officeDocument/2006/relationships/image" Target="media/image28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32.png"/><Relationship Id="rId25" Type="http://schemas.openxmlformats.org/officeDocument/2006/relationships/image" Target="media/image4.png"/><Relationship Id="rId28" Type="http://schemas.openxmlformats.org/officeDocument/2006/relationships/image" Target="media/image22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1.png"/><Relationship Id="rId31" Type="http://schemas.openxmlformats.org/officeDocument/2006/relationships/image" Target="media/image27.png"/><Relationship Id="rId30" Type="http://schemas.openxmlformats.org/officeDocument/2006/relationships/image" Target="media/image15.png"/><Relationship Id="rId11" Type="http://schemas.openxmlformats.org/officeDocument/2006/relationships/image" Target="media/image21.png"/><Relationship Id="rId33" Type="http://schemas.openxmlformats.org/officeDocument/2006/relationships/image" Target="media/image30.png"/><Relationship Id="rId10" Type="http://schemas.openxmlformats.org/officeDocument/2006/relationships/image" Target="media/image13.png"/><Relationship Id="rId32" Type="http://schemas.openxmlformats.org/officeDocument/2006/relationships/image" Target="media/image23.png"/><Relationship Id="rId13" Type="http://schemas.openxmlformats.org/officeDocument/2006/relationships/image" Target="media/image7.png"/><Relationship Id="rId35" Type="http://schemas.openxmlformats.org/officeDocument/2006/relationships/image" Target="media/image5.png"/><Relationship Id="rId12" Type="http://schemas.openxmlformats.org/officeDocument/2006/relationships/image" Target="media/image10.png"/><Relationship Id="rId34" Type="http://schemas.openxmlformats.org/officeDocument/2006/relationships/image" Target="media/image17.png"/><Relationship Id="rId15" Type="http://schemas.openxmlformats.org/officeDocument/2006/relationships/image" Target="media/image14.png"/><Relationship Id="rId37" Type="http://schemas.openxmlformats.org/officeDocument/2006/relationships/image" Target="media/image31.png"/><Relationship Id="rId14" Type="http://schemas.openxmlformats.org/officeDocument/2006/relationships/image" Target="media/image29.png"/><Relationship Id="rId36" Type="http://schemas.openxmlformats.org/officeDocument/2006/relationships/image" Target="media/image18.png"/><Relationship Id="rId17" Type="http://schemas.openxmlformats.org/officeDocument/2006/relationships/image" Target="media/image25.png"/><Relationship Id="rId16" Type="http://schemas.openxmlformats.org/officeDocument/2006/relationships/image" Target="media/image20.png"/><Relationship Id="rId19" Type="http://schemas.openxmlformats.org/officeDocument/2006/relationships/image" Target="media/image12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